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4157588" w:rsidR="00D2060E" w:rsidRPr="00A769FC" w:rsidRDefault="0084409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BE0403" w:rsidRPr="00BE0403">
          <w:rPr>
            <w:rStyle w:val="a3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Спортивний одяг для забезпечення підготовки та участі національної збірної команди України з боксу в ХХХІІІ літніх Олімпійських іграх 2024 року (ДК 021:2015: 18410000-6 — Спеціальний одяг) (наказ 362)</w:t>
        </w:r>
      </w:hyperlink>
    </w:p>
    <w:p w14:paraId="76208D1F" w14:textId="7E7878A6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286C" w:rsidRPr="00A4286C">
        <w:rPr>
          <w:rFonts w:ascii="Times New Roman" w:hAnsi="Times New Roman" w:cs="Times New Roman"/>
          <w:bCs/>
          <w:i/>
          <w:sz w:val="24"/>
          <w:szCs w:val="24"/>
        </w:rPr>
        <w:t>UA-2024-03-29-007846-a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844093"/>
    <w:rsid w:val="00A4286C"/>
    <w:rsid w:val="00A769FC"/>
    <w:rsid w:val="00B044D0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3522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2024-02-22T12:28:00Z</dcterms:created>
  <dcterms:modified xsi:type="dcterms:W3CDTF">2024-04-01T13:27:00Z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