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1B3472D5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AE2B50" w:rsidRPr="00AE2B50">
        <w:rPr>
          <w:rFonts w:ascii="Times New Roman" w:hAnsi="Times New Roman"/>
          <w:b/>
          <w:bCs/>
          <w:i/>
          <w:sz w:val="24"/>
          <w:szCs w:val="24"/>
          <w:lang w:val="uk-UA"/>
        </w:rPr>
        <w:t>Кульки пневматичні до пневматичної спортивної зброї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2448).</w:t>
      </w:r>
    </w:p>
    <w:p w14:paraId="059EF7A6" w14:textId="53017738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AE2B50" w:rsidRPr="00AE2B50">
        <w:rPr>
          <w:rFonts w:ascii="Times New Roman" w:hAnsi="Times New Roman" w:cs="Times New Roman"/>
          <w:b/>
          <w:bCs/>
          <w:sz w:val="24"/>
          <w:szCs w:val="24"/>
        </w:rPr>
        <w:t>UA-2024-08-29-007067-a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C774D"/>
    <w:rsid w:val="0080555B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17</cp:revision>
  <dcterms:created xsi:type="dcterms:W3CDTF">2024-03-04T09:40:00Z</dcterms:created>
  <dcterms:modified xsi:type="dcterms:W3CDTF">2024-08-29T12:47:00Z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