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17B3518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C282E" w:rsidRPr="00BC282E">
        <w:rPr>
          <w:rFonts w:ascii="Times New Roman" w:hAnsi="Times New Roman"/>
          <w:b/>
          <w:bCs/>
          <w:i/>
          <w:sz w:val="24"/>
          <w:szCs w:val="24"/>
          <w:lang w:val="uk-UA"/>
        </w:rPr>
        <w:t>М'яч для метання тренувальний гумовий для забезпечення підготовки та участі національної збірної команди України з легкої атлетики у міжнародних змаганнях (ДК 021:2015: 37450000-7 — Спортивний інвентар для полів і кортів) (наказ 5846)</w:t>
      </w:r>
      <w:r w:rsidR="00BC282E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7AA3F383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BC282E" w:rsidRPr="00BC282E">
        <w:rPr>
          <w:rFonts w:ascii="Times New Roman" w:hAnsi="Times New Roman" w:cs="Times New Roman"/>
          <w:b/>
          <w:bCs/>
          <w:sz w:val="24"/>
          <w:szCs w:val="24"/>
        </w:rPr>
        <w:t>UA-2024-11-12-002503-a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22</cp:revision>
  <dcterms:created xsi:type="dcterms:W3CDTF">2024-03-04T09:40:00Z</dcterms:created>
  <dcterms:modified xsi:type="dcterms:W3CDTF">2024-11-12T08:51:00Z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