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70FC5" w:rsidRPr="00870FC5" w:rsidRDefault="00870FC5" w:rsidP="00870FC5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70FC5">
        <w:rPr>
          <w:rFonts w:ascii="Times New Roman" w:hAnsi="Times New Roman"/>
          <w:b/>
          <w:bCs/>
          <w:sz w:val="24"/>
          <w:szCs w:val="24"/>
          <w:lang w:val="uk-UA"/>
        </w:rPr>
        <w:t>Рушниця калібру 12 для забезпечення підготовки та участі національної збірної команд України  з стрільби стендової у міжнародних змаганнях (ДК 021:2015 35320000-3 — Вогнепальна зброя) (наказ 5027)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870FC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70FC5" w:rsidRPr="00870FC5">
        <w:rPr>
          <w:rFonts w:ascii="Times New Roman" w:hAnsi="Times New Roman" w:cs="Times New Roman"/>
          <w:b/>
          <w:sz w:val="24"/>
          <w:szCs w:val="24"/>
        </w:rPr>
        <w:t>UA-2025-09-05-010433-a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0FC5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EB6E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33</cp:revision>
  <cp:lastPrinted>2025-09-05T09:58:00Z</cp:lastPrinted>
  <dcterms:created xsi:type="dcterms:W3CDTF">2024-02-20T13:42:00Z</dcterms:created>
  <dcterms:modified xsi:type="dcterms:W3CDTF">2025-09-05T12:28:00Z</dcterms:modified>
</cp:coreProperties>
</file>